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56" w:rsidRPr="007C31C6" w:rsidRDefault="007C31C6" w:rsidP="007C31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31C6">
        <w:rPr>
          <w:rFonts w:ascii="Times New Roman" w:hAnsi="Times New Roman" w:cs="Times New Roman"/>
          <w:b/>
          <w:sz w:val="40"/>
          <w:szCs w:val="40"/>
        </w:rPr>
        <w:t>Co nás stojí odpad?</w:t>
      </w:r>
    </w:p>
    <w:p w:rsidR="007C31C6" w:rsidRDefault="007C31C6">
      <w:pPr>
        <w:rPr>
          <w:rFonts w:ascii="Times New Roman" w:hAnsi="Times New Roman" w:cs="Times New Roman"/>
        </w:rPr>
      </w:pPr>
    </w:p>
    <w:p w:rsidR="006B0518" w:rsidRDefault="006B0518" w:rsidP="006B051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výpočet sazby poplatku pro rok 2013 jsme vycházeli ze skutečných nákladů a příjmů obce za komunální odpad v roce 2011, ale také s ohledem na rok 2012, který však v do</w:t>
      </w:r>
      <w:bookmarkStart w:id="0" w:name="_GoBack"/>
      <w:bookmarkEnd w:id="0"/>
      <w:r>
        <w:rPr>
          <w:rFonts w:ascii="Times New Roman" w:hAnsi="Times New Roman" w:cs="Times New Roman"/>
        </w:rPr>
        <w:t>bě rozhodování nebyl zcela účetně uzavřen.</w:t>
      </w:r>
    </w:p>
    <w:p w:rsidR="006B0518" w:rsidRDefault="006B0518" w:rsidP="006B051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Odvoz popelnic nás ročně stojí cca 460 – 480 tis. Kč, odvoz dalšího komunálního odpadu ze sběrného dvora pak asi 130 tis. Kč. Svoz suti vyjde na bezmála 30 tis. Kč a zbývající částky jsou za elektřinu, mzdy apod. Celkem nás tedy svozy suti a komunálního odpadu vyjdou na cca </w:t>
      </w:r>
      <w:r w:rsidRPr="00B84369">
        <w:rPr>
          <w:rFonts w:ascii="Times New Roman" w:hAnsi="Times New Roman" w:cs="Times New Roman"/>
          <w:b/>
        </w:rPr>
        <w:t>650 – 700 tis. Kč</w:t>
      </w:r>
      <w:r>
        <w:rPr>
          <w:rFonts w:ascii="Times New Roman" w:hAnsi="Times New Roman" w:cs="Times New Roman"/>
        </w:rPr>
        <w:t>.</w:t>
      </w:r>
    </w:p>
    <w:p w:rsidR="006B0518" w:rsidRDefault="006B0518" w:rsidP="006B051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Naproti tomu od občanů</w:t>
      </w:r>
      <w:r w:rsidR="00D379AE">
        <w:rPr>
          <w:rFonts w:ascii="Times New Roman" w:hAnsi="Times New Roman" w:cs="Times New Roman"/>
        </w:rPr>
        <w:t xml:space="preserve"> a podnikatelů</w:t>
      </w:r>
      <w:r>
        <w:rPr>
          <w:rFonts w:ascii="Times New Roman" w:hAnsi="Times New Roman" w:cs="Times New Roman"/>
        </w:rPr>
        <w:t xml:space="preserve"> jsme vybrali </w:t>
      </w:r>
      <w:r w:rsidR="00D379AE">
        <w:rPr>
          <w:rFonts w:ascii="Times New Roman" w:hAnsi="Times New Roman" w:cs="Times New Roman"/>
        </w:rPr>
        <w:t xml:space="preserve">jen necelých </w:t>
      </w:r>
      <w:r w:rsidR="00D379AE" w:rsidRPr="00B84369">
        <w:rPr>
          <w:rFonts w:ascii="Times New Roman" w:hAnsi="Times New Roman" w:cs="Times New Roman"/>
          <w:b/>
        </w:rPr>
        <w:t>450 tis. Kč</w:t>
      </w:r>
      <w:r w:rsidR="00D379AE">
        <w:rPr>
          <w:rFonts w:ascii="Times New Roman" w:hAnsi="Times New Roman" w:cs="Times New Roman"/>
        </w:rPr>
        <w:t>. Výsledná ztráta cca 250 tis. Kč jde pak na vrub rozpočtu obce. Tím jsou samozřejmě utlumovány jiné rozvojové aktivity.</w:t>
      </w:r>
    </w:p>
    <w:p w:rsidR="00D379AE" w:rsidRDefault="00D379AE" w:rsidP="00D37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AE" w:rsidRPr="007C31C6" w:rsidRDefault="00D379AE" w:rsidP="00D37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C6">
        <w:rPr>
          <w:rFonts w:ascii="Times New Roman" w:hAnsi="Times New Roman" w:cs="Times New Roman"/>
          <w:b/>
          <w:sz w:val="24"/>
          <w:szCs w:val="24"/>
        </w:rPr>
        <w:t>Graf č. 1: Celkové náklady a příjmy za svoz komunálního odpadu v obci</w:t>
      </w:r>
    </w:p>
    <w:p w:rsidR="00D379AE" w:rsidRDefault="00D379AE" w:rsidP="00D379AE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CA19F90" wp14:editId="7F73077D">
            <wp:extent cx="4848225" cy="27241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79AE" w:rsidRDefault="00D379AE" w:rsidP="006B051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379AE" w:rsidRDefault="00D379AE" w:rsidP="006B051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379AE" w:rsidRDefault="00D379AE" w:rsidP="00D379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z roku 2012 umožnil obcím po více než devíti letech konečně zvednout sazbu za místní poplatek pro své občany na maximální možnou částku 1</w:t>
      </w:r>
      <w:r w:rsidR="00B843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000 Kč, resp. do max. výše nákladů za komunální odpad přepočtený na jednoho obyvatele obce. </w:t>
      </w:r>
      <w:r w:rsidR="00D90AF7">
        <w:rPr>
          <w:rFonts w:ascii="Times New Roman" w:hAnsi="Times New Roman" w:cs="Times New Roman"/>
        </w:rPr>
        <w:t>Dlouhodobě je totiž neudržitelné, aby obce v tak</w:t>
      </w:r>
      <w:r w:rsidR="00B84369">
        <w:rPr>
          <w:rFonts w:ascii="Times New Roman" w:hAnsi="Times New Roman" w:cs="Times New Roman"/>
        </w:rPr>
        <w:t>ové</w:t>
      </w:r>
      <w:r w:rsidR="00D90AF7">
        <w:rPr>
          <w:rFonts w:ascii="Times New Roman" w:hAnsi="Times New Roman" w:cs="Times New Roman"/>
        </w:rPr>
        <w:t xml:space="preserve"> míře doplácely na spotřebu obyvatel a dotovaly domácnosti na úkor investic do škol, sportu, kultury, veřejných prostranství</w:t>
      </w:r>
      <w:r w:rsidR="00A5351B">
        <w:rPr>
          <w:rFonts w:ascii="Times New Roman" w:hAnsi="Times New Roman" w:cs="Times New Roman"/>
        </w:rPr>
        <w:t>, komunikací</w:t>
      </w:r>
      <w:r w:rsidR="00D90AF7">
        <w:rPr>
          <w:rFonts w:ascii="Times New Roman" w:hAnsi="Times New Roman" w:cs="Times New Roman"/>
        </w:rPr>
        <w:t xml:space="preserve"> apod.</w:t>
      </w:r>
      <w:r w:rsidR="00D90AF7" w:rsidRPr="00D90AF7">
        <w:rPr>
          <w:rFonts w:ascii="Times New Roman" w:hAnsi="Times New Roman" w:cs="Times New Roman"/>
        </w:rPr>
        <w:t xml:space="preserve"> </w:t>
      </w:r>
      <w:r w:rsidR="00D90AF7">
        <w:rPr>
          <w:rFonts w:ascii="Times New Roman" w:hAnsi="Times New Roman" w:cs="Times New Roman"/>
        </w:rPr>
        <w:t>Naši obec navíc zatěžují dva enormně vysoké úvěry za vodovod, a proto jsme se jednomyslně shodli, že navýšení bude od roku 2013 naprosto nutné.</w:t>
      </w:r>
    </w:p>
    <w:p w:rsidR="006B0518" w:rsidRDefault="00D90AF7" w:rsidP="00D379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Abychom pokryli celkovou ztrátu, která nám dnes vzniká, činil by poplatek </w:t>
      </w:r>
      <w:r w:rsidRPr="00B84369">
        <w:rPr>
          <w:rFonts w:ascii="Times New Roman" w:hAnsi="Times New Roman" w:cs="Times New Roman"/>
          <w:b/>
        </w:rPr>
        <w:t>800 Kč na obyvatele</w:t>
      </w:r>
      <w:r>
        <w:rPr>
          <w:rFonts w:ascii="Times New Roman" w:hAnsi="Times New Roman" w:cs="Times New Roman"/>
        </w:rPr>
        <w:t xml:space="preserve">. To znamená navýšení o 300 Kč na osobu. Není bez zajímavosti, že v hlasování vás občanů na webových stránkách obce, tato varianta naprosto drtivě zvítězila. Velmi příjemně nás tedy překvapilo, že si uvědomujete, že obec potřebuje mít dostatek vlastních prostředků na rozvojové projekty a to zejména </w:t>
      </w:r>
      <w:r w:rsidR="00A5351B">
        <w:rPr>
          <w:rFonts w:ascii="Times New Roman" w:hAnsi="Times New Roman" w:cs="Times New Roman"/>
        </w:rPr>
        <w:t>na spolufinancování projektů z prostředků dotačních programů. Bez nich bychom o dotace žádat nemohli.</w:t>
      </w:r>
    </w:p>
    <w:p w:rsidR="00B84369" w:rsidRPr="007C31C6" w:rsidRDefault="00A5351B" w:rsidP="00B84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Přesto jsme se rozhodli zvolit mírnější </w:t>
      </w:r>
      <w:r w:rsidR="00B84369">
        <w:rPr>
          <w:rFonts w:ascii="Times New Roman" w:hAnsi="Times New Roman" w:cs="Times New Roman"/>
        </w:rPr>
        <w:t>přístup</w:t>
      </w:r>
      <w:r>
        <w:rPr>
          <w:rFonts w:ascii="Times New Roman" w:hAnsi="Times New Roman" w:cs="Times New Roman"/>
        </w:rPr>
        <w:t xml:space="preserve"> a poplatek navýšili o pouhých 100 Kč, tedy na </w:t>
      </w:r>
      <w:r w:rsidRPr="00B84369">
        <w:rPr>
          <w:rFonts w:ascii="Times New Roman" w:hAnsi="Times New Roman" w:cs="Times New Roman"/>
        </w:rPr>
        <w:t>celkových</w:t>
      </w:r>
      <w:r w:rsidRPr="00B84369">
        <w:rPr>
          <w:rFonts w:ascii="Times New Roman" w:hAnsi="Times New Roman" w:cs="Times New Roman"/>
          <w:b/>
        </w:rPr>
        <w:t xml:space="preserve"> 600 Kč na osobu a rok</w:t>
      </w:r>
      <w:r>
        <w:rPr>
          <w:rFonts w:ascii="Times New Roman" w:hAnsi="Times New Roman" w:cs="Times New Roman"/>
        </w:rPr>
        <w:t xml:space="preserve">. </w:t>
      </w:r>
      <w:r w:rsidR="00B84369">
        <w:rPr>
          <w:rFonts w:ascii="Times New Roman" w:hAnsi="Times New Roman" w:cs="Times New Roman"/>
        </w:rPr>
        <w:t xml:space="preserve">V konečných číslech to pro nás znamená, že za předpokladu podobně vysokých výdajů, bude naše obec doplácet nějakých </w:t>
      </w:r>
      <w:r w:rsidR="00B84369" w:rsidRPr="00B84369">
        <w:rPr>
          <w:rFonts w:ascii="Times New Roman" w:hAnsi="Times New Roman" w:cs="Times New Roman"/>
          <w:b/>
        </w:rPr>
        <w:t>170 tis. Kč ročně</w:t>
      </w:r>
      <w:r w:rsidR="00B84369">
        <w:rPr>
          <w:rFonts w:ascii="Times New Roman" w:hAnsi="Times New Roman" w:cs="Times New Roman"/>
        </w:rPr>
        <w:t xml:space="preserve"> za odpadové hospodářství. </w:t>
      </w:r>
    </w:p>
    <w:p w:rsidR="00A5351B" w:rsidRDefault="00A5351B" w:rsidP="00D379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Chceme tímto rozhodnutím především poděkovat vám všem za další zlepšení v třídění separovaných složek odpadu, jako je plast, papír, sklo a také biologický odpad (tráva, listí apod.). Věříme navíc, že zavedením kontejnerových svozů bioodpadu od letošního roku se podíl této vytříděné složky ještě zvýší.</w:t>
      </w:r>
      <w:r w:rsidR="00B84369">
        <w:rPr>
          <w:rFonts w:ascii="Times New Roman" w:hAnsi="Times New Roman" w:cs="Times New Roman"/>
        </w:rPr>
        <w:t xml:space="preserve"> Jsme připraveni letos i rozšířit počet kontejnerů na </w:t>
      </w:r>
      <w:proofErr w:type="spellStart"/>
      <w:r w:rsidR="00B84369">
        <w:rPr>
          <w:rFonts w:ascii="Times New Roman" w:hAnsi="Times New Roman" w:cs="Times New Roman"/>
        </w:rPr>
        <w:t>separ</w:t>
      </w:r>
      <w:proofErr w:type="spellEnd"/>
      <w:r w:rsidR="00B84369">
        <w:rPr>
          <w:rFonts w:ascii="Times New Roman" w:hAnsi="Times New Roman" w:cs="Times New Roman"/>
        </w:rPr>
        <w:t xml:space="preserve"> na jednotlivých stanovištích, pokud to bude nutné.</w:t>
      </w:r>
    </w:p>
    <w:p w:rsidR="00B84369" w:rsidRDefault="00B84369" w:rsidP="00D379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Připomínáme, že čím více budeme </w:t>
      </w:r>
      <w:r w:rsidR="00E72568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všichni třídit odpad, tím menší budou náklady na svoz popelnic a tím menší budou </w:t>
      </w:r>
      <w:r w:rsidR="00E72568">
        <w:rPr>
          <w:rFonts w:ascii="Times New Roman" w:hAnsi="Times New Roman" w:cs="Times New Roman"/>
        </w:rPr>
        <w:t>případná</w:t>
      </w:r>
      <w:r>
        <w:rPr>
          <w:rFonts w:ascii="Times New Roman" w:hAnsi="Times New Roman" w:cs="Times New Roman"/>
        </w:rPr>
        <w:t xml:space="preserve"> další navyšování poplatku</w:t>
      </w:r>
      <w:r w:rsidR="00E72568" w:rsidRPr="00E72568">
        <w:rPr>
          <w:rFonts w:ascii="Times New Roman" w:hAnsi="Times New Roman" w:cs="Times New Roman"/>
        </w:rPr>
        <w:t xml:space="preserve"> </w:t>
      </w:r>
      <w:r w:rsidR="00E72568">
        <w:rPr>
          <w:rFonts w:ascii="Times New Roman" w:hAnsi="Times New Roman" w:cs="Times New Roman"/>
        </w:rPr>
        <w:t>v </w:t>
      </w:r>
      <w:r w:rsidR="00E72568">
        <w:rPr>
          <w:rFonts w:ascii="Times New Roman" w:hAnsi="Times New Roman" w:cs="Times New Roman"/>
        </w:rPr>
        <w:t>nadcházejících</w:t>
      </w:r>
      <w:r w:rsidR="00E72568">
        <w:rPr>
          <w:rFonts w:ascii="Times New Roman" w:hAnsi="Times New Roman" w:cs="Times New Roman"/>
        </w:rPr>
        <w:t xml:space="preserve"> letech</w:t>
      </w:r>
      <w:r>
        <w:rPr>
          <w:rFonts w:ascii="Times New Roman" w:hAnsi="Times New Roman" w:cs="Times New Roman"/>
        </w:rPr>
        <w:t>.</w:t>
      </w:r>
      <w:r w:rsidR="00E72568">
        <w:rPr>
          <w:rFonts w:ascii="Times New Roman" w:hAnsi="Times New Roman" w:cs="Times New Roman"/>
        </w:rPr>
        <w:t xml:space="preserve"> Cena poplatku je tedy na nás samotných.</w:t>
      </w:r>
    </w:p>
    <w:p w:rsidR="007C31C6" w:rsidRDefault="007C31C6" w:rsidP="007C31C6">
      <w:pPr>
        <w:jc w:val="center"/>
      </w:pPr>
    </w:p>
    <w:sectPr w:rsidR="007C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C6"/>
    <w:rsid w:val="006B0518"/>
    <w:rsid w:val="007C31C6"/>
    <w:rsid w:val="00852556"/>
    <w:rsid w:val="00A5351B"/>
    <w:rsid w:val="00B84369"/>
    <w:rsid w:val="00D379AE"/>
    <w:rsid w:val="00D90AF7"/>
    <w:rsid w:val="00E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83562540929927"/>
          <c:y val="4.404199475065617E-2"/>
          <c:w val="0.85650934104749676"/>
          <c:h val="0.82348549088706569"/>
        </c:manualLayout>
      </c:layout>
      <c:lineChart>
        <c:grouping val="standard"/>
        <c:varyColors val="0"/>
        <c:ser>
          <c:idx val="0"/>
          <c:order val="0"/>
          <c:tx>
            <c:v>Náklady</c:v>
          </c:tx>
          <c:spPr>
            <a:ln w="44450">
              <a:solidFill>
                <a:srgbClr val="FF3300"/>
              </a:solidFill>
            </a:ln>
          </c:spPr>
          <c:marker>
            <c:spPr>
              <a:solidFill>
                <a:srgbClr val="C00000"/>
              </a:solidFill>
            </c:spPr>
          </c:marker>
          <c:dPt>
            <c:idx val="4"/>
            <c:bubble3D val="0"/>
            <c:spPr>
              <a:ln w="44450">
                <a:solidFill>
                  <a:srgbClr val="FF3300"/>
                </a:solidFill>
                <a:prstDash val="sysDash"/>
              </a:ln>
            </c:spPr>
          </c:dPt>
          <c:dPt>
            <c:idx val="5"/>
            <c:bubble3D val="0"/>
            <c:spPr>
              <a:ln w="44450">
                <a:solidFill>
                  <a:srgbClr val="FF3300"/>
                </a:solidFill>
                <a:prstDash val="dash"/>
              </a:ln>
            </c:spPr>
          </c:dPt>
          <c:cat>
            <c:numRef>
              <c:f>('Propočet na MP'!$D$3;'Propočet na MP'!$F$3;'Propočet na MP'!$H$3;'Propočet na MP'!$J$3;'Propočet na MP'!$L$3;'Propočet na MP'!$N$3)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('Propočet na MP'!$D$11;'Propočet na MP'!$F$11;'Propočet na MP'!$H$11;'Propočet na MP'!$J$11;'Propočet na MP'!$L$11;'Propočet na MP'!$N$11)</c:f>
              <c:numCache>
                <c:formatCode>#,##0\ "Kč"</c:formatCode>
                <c:ptCount val="4"/>
                <c:pt idx="0">
                  <c:v>684160</c:v>
                </c:pt>
                <c:pt idx="1">
                  <c:v>703699</c:v>
                </c:pt>
                <c:pt idx="2">
                  <c:v>652487</c:v>
                </c:pt>
                <c:pt idx="3">
                  <c:v>689000</c:v>
                </c:pt>
              </c:numCache>
            </c:numRef>
          </c:val>
          <c:smooth val="0"/>
        </c:ser>
        <c:ser>
          <c:idx val="1"/>
          <c:order val="1"/>
          <c:tx>
            <c:v>Příjmy</c:v>
          </c:tx>
          <c:spPr>
            <a:ln w="44450">
              <a:solidFill>
                <a:schemeClr val="accent1">
                  <a:lumMod val="75000"/>
                </a:schemeClr>
              </a:solidFill>
            </a:ln>
          </c:spPr>
          <c:marker>
            <c:symbol val="square"/>
            <c:size val="7"/>
            <c:spPr>
              <a:solidFill>
                <a:schemeClr val="tx2">
                  <a:lumMod val="75000"/>
                </a:schemeClr>
              </a:solidFill>
            </c:spPr>
          </c:marker>
          <c:dPt>
            <c:idx val="4"/>
            <c:bubble3D val="0"/>
            <c:spPr>
              <a:ln w="44450">
                <a:solidFill>
                  <a:schemeClr val="accent1">
                    <a:lumMod val="75000"/>
                  </a:schemeClr>
                </a:solidFill>
                <a:prstDash val="sysDash"/>
              </a:ln>
            </c:spPr>
          </c:dPt>
          <c:dPt>
            <c:idx val="5"/>
            <c:bubble3D val="0"/>
            <c:spPr>
              <a:ln w="44450">
                <a:solidFill>
                  <a:schemeClr val="accent1">
                    <a:lumMod val="75000"/>
                  </a:schemeClr>
                </a:solidFill>
                <a:prstDash val="dash"/>
              </a:ln>
            </c:spPr>
          </c:dPt>
          <c:cat>
            <c:numRef>
              <c:f>('Propočet na MP'!$D$3;'Propočet na MP'!$F$3;'Propočet na MP'!$H$3;'Propočet na MP'!$J$3;'Propočet na MP'!$L$3;'Propočet na MP'!$N$3)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('Propočet na MP'!$D$14;'Propočet na MP'!$F$14;'Propočet na MP'!$H$14;'Propočet na MP'!$J$14;'Propočet na MP'!$L$14;'Propočet na MP'!$N$14)</c:f>
              <c:numCache>
                <c:formatCode>#,##0\ "Kč"</c:formatCode>
                <c:ptCount val="4"/>
                <c:pt idx="0">
                  <c:v>419041</c:v>
                </c:pt>
                <c:pt idx="1">
                  <c:v>446040</c:v>
                </c:pt>
                <c:pt idx="2">
                  <c:v>440500</c:v>
                </c:pt>
                <c:pt idx="3">
                  <c:v>532000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45120"/>
        <c:axId val="32646656"/>
      </c:lineChart>
      <c:catAx>
        <c:axId val="3264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32646656"/>
        <c:crosses val="autoZero"/>
        <c:auto val="1"/>
        <c:lblAlgn val="ctr"/>
        <c:lblOffset val="100"/>
        <c:noMultiLvlLbl val="0"/>
      </c:catAx>
      <c:valAx>
        <c:axId val="32646656"/>
        <c:scaling>
          <c:orientation val="minMax"/>
          <c:min val="3500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32645120"/>
        <c:crosses val="autoZero"/>
        <c:crossBetween val="between"/>
      </c:valAx>
      <c:spPr>
        <a:gradFill>
          <a:gsLst>
            <a:gs pos="100000">
              <a:schemeClr val="bg2">
                <a:lumMod val="50000"/>
              </a:schemeClr>
            </a:gs>
            <a:gs pos="39000">
              <a:schemeClr val="bg1"/>
            </a:gs>
            <a:gs pos="100000">
              <a:schemeClr val="bg1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25560488632437645"/>
          <c:y val="0.35823064075032579"/>
          <c:w val="0.23197788881497869"/>
          <c:h val="0.22206853513940128"/>
        </c:manualLayout>
      </c:layout>
      <c:overlay val="0"/>
      <c:txPr>
        <a:bodyPr/>
        <a:lstStyle/>
        <a:p>
          <a:pPr>
            <a:defRPr sz="14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2013-01-08T10:31:00Z</dcterms:created>
  <dcterms:modified xsi:type="dcterms:W3CDTF">2013-01-08T15:46:00Z</dcterms:modified>
</cp:coreProperties>
</file>